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2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-352965</wp:posOffset>
                </wp:positionV>
                <wp:extent cx="6285865" cy="2129060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2129059"/>
                          <a:chOff x="0" y="0"/>
                          <a:chExt cx="6285864" cy="2129059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4" cy="1590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2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14000" cy="482400"/>
                                        <wp:effectExtent l="0" t="0" r="0" b="0"/>
                                        <wp:docPr id="2" name="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02212838" name=""/>
                                                <pic:cNvPicPr/>
                                                <pic:nvPr/>
                                              </pic:nvPicPr>
                                              <pic:blipFill>
                                                <a:blip r:embed="rId12"/>
                                                <a:stretch/>
                                              </pic:blipFill>
                                              <pic:spPr bwMode="auto">
                                                <a:xfrm rot="0" flipH="0" flipV="0">
                                                  <a:off x="0" y="0"/>
                                                  <a:ext cx="414000" cy="48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0" o:spid="_x0000_s0" type="#_x0000_t75" style="width:32.60pt;height:37.98pt;mso-wrap-distance-left:0.00pt;mso-wrap-distance-top:0.00pt;mso-wrap-distance-right:0.00pt;mso-wrap-distance-bottom:0.00pt;rotation:0;" stroked="false">
                                        <v:path textboxrect="0,0,0,0"/>
                                        <v:imagedata r:id="rId12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1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915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15"/>
                                <w:jc w:val="center"/>
                                <w:spacing w:line="360" w:lineRule="exact"/>
                                <w:widowControl w:val="off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1817274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15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27.03.2026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15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9" y="1820449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15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185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15"/>
                                <w:jc w:val="right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27.79pt;mso-position-vertical:absolute;width:494.95pt;height:167.64pt;mso-wrap-distance-left:9.00pt;mso-wrap-distance-top:0.00pt;mso-wrap-distance-right:9.00pt;mso-wrap-distance-bottom:0.00pt;" coordorigin="0,0" coordsize="62858,21290">
                <v:shape id="shape 2" o:spid="_x0000_s2" o:spt="202" type="#_x0000_t202" style="position:absolute;left:0;top:0;width:62858;height:15906;visibility:visible;" fillcolor="#FFFFFF" stroked="f">
                  <v:textbox inset="0,0,0,0">
                    <w:txbxContent>
                      <w:p>
                        <w:pPr>
                          <w:pStyle w:val="92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14000" cy="482400"/>
                                  <wp:effectExtent l="0" t="0" r="0" b="0"/>
                                  <wp:docPr id="2" name="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2212838" name=""/>
                                          <pic:cNvPicPr/>
                                          <pic:nvPr/>
                                        </pic:nvPicPr>
                                        <pic:blipFill>
                                          <a:blip r:embed="rId12"/>
                                          <a:stretch/>
                                        </pic:blipFill>
                                        <pic:spPr bwMode="auto">
                                          <a:xfrm rot="0" flipH="0" flipV="0">
                                            <a:off x="0" y="0"/>
                                            <a:ext cx="414000" cy="482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32.60pt;height:37.98pt;mso-wrap-distance-left:0.00pt;mso-wrap-distance-top:0.00pt;mso-wrap-distance-right:0.00pt;mso-wrap-distance-bottom:0.00pt;rotation:0;" stroked="false">
                                  <v:path textboxrect="0,0,0,0"/>
                                  <v:imagedata r:id="rId12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1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915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15"/>
                          <w:jc w:val="center"/>
                          <w:spacing w:line="360" w:lineRule="exact"/>
                          <w:widowControl w:val="off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18172;width:15360;height:3086;visibility:visible;" filled="f" stroked="f">
                  <v:textbox inset="0,0,0,0">
                    <w:txbxContent>
                      <w:p>
                        <w:pPr>
                          <w:pStyle w:val="915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27.03.2026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15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2;top:18204;width:10858;height:3086;visibility:visible;" fillcolor="#FFFFFF" stroked="f">
                  <v:textbox inset="0,0,0,0">
                    <w:txbxContent>
                      <w:p>
                        <w:pPr>
                          <w:pStyle w:val="915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185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15"/>
                          <w:jc w:val="right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right="4953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5"/>
        <w:ind w:right="4953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5"/>
        <w:ind w:right="4953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5"/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5"/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размера платы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за содержание жилого помещения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городе Перми </w:t>
      </w:r>
      <w:r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признании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утратившим силу постановления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 03.11.2</w:t>
      </w:r>
      <w:r>
        <w:rPr>
          <w:b/>
          <w:sz w:val="28"/>
          <w:szCs w:val="28"/>
        </w:rPr>
        <w:t xml:space="preserve">022 № 1125 </w:t>
        <w:br/>
        <w:t xml:space="preserve">«Об установлении размера платы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за содержание жилого помещения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городе Перми и признании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утратившим силу постановления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администрации города </w:t>
      </w:r>
      <w:r>
        <w:rPr>
          <w:b/>
          <w:sz w:val="28"/>
          <w:szCs w:val="28"/>
        </w:rPr>
        <w:t xml:space="preserve">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 28.12.2021 № 1241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«Об установлении размера платы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за содержание жилого помещения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953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городе Перми»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</w:t>
      </w:r>
      <w:r>
        <w:rPr>
          <w:sz w:val="28"/>
          <w:szCs w:val="28"/>
        </w:rPr>
        <w:t xml:space="preserve"> с Жилищным кодексом Российской Федерации, постановлением Правительства Российской Федерации от 13 августа 2006 г. № 491 </w:t>
        <w:br/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 по управлению, содержанию и ремонту общего имущества в многоквартирном доме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ненадлежащего качества и (или) с перерывами, превышающими установленную продолжительность</w:t>
      </w:r>
      <w:r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решением Пермской городской 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мы от 28 октября 2014 г. № 226 «О порядке установления органами местного самоуправления города Перми размера платы за пользование жилым помещением (платы за наем) и платы за содержание жилого помещения </w:t>
        <w:br/>
        <w:t xml:space="preserve">в городе Перми», на основании </w:t>
      </w:r>
      <w:r>
        <w:rPr>
          <w:sz w:val="28"/>
          <w:szCs w:val="28"/>
        </w:rPr>
        <w:t xml:space="preserve">протокола комиссии по регулированию цен и тарифов </w:t>
      </w:r>
      <w:r>
        <w:rPr>
          <w:sz w:val="28"/>
          <w:szCs w:val="28"/>
        </w:rPr>
        <w:t xml:space="preserve">администрации города Перми </w:t>
      </w:r>
      <w:r>
        <w:rPr>
          <w:sz w:val="28"/>
          <w:szCs w:val="28"/>
        </w:rPr>
        <w:t xml:space="preserve">от 02 марта 2026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размер платы за содержание жилого помещения в городе Перми для нанимателей жилых помещений по договорам социального найма и договорам найма жилых помещений муниципального и государственного жилищного </w:t>
        <w:br/>
        <w:t xml:space="preserve">фондов и собстве</w:t>
      </w:r>
      <w:r>
        <w:rPr>
          <w:sz w:val="28"/>
          <w:szCs w:val="28"/>
        </w:rPr>
        <w:t xml:space="preserve">нников жилых помещений,</w:t>
      </w:r>
      <w:r>
        <w:rPr>
          <w:sz w:val="28"/>
          <w:szCs w:val="28"/>
        </w:rPr>
        <w:t xml:space="preserve"> которые не приняли решение о выборе способа управления многоквартирным домом или не приняли решение об установлении размера платы за содержание жилого помещения (для нанимателей </w:t>
        <w:br/>
        <w:t xml:space="preserve">и собственников, проживающих в отдельных квартирах);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размер платы за содержание жилого помещения в городе Перми для нанимателей жилых помещений по договорам социального найма и договорам найма жилых помещений муниципального и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осударственного жилищного </w:t>
        <w:br/>
        <w:t xml:space="preserve">фондов и собственников жилых помещений, которые не приняли решение о выборе способа управления многоквартирным домом или не приняли решение об установлении размера платы за содержание жилого помещения (для нанимателей комнат в к</w:t>
      </w:r>
      <w:r>
        <w:rPr>
          <w:sz w:val="28"/>
          <w:szCs w:val="28"/>
        </w:rPr>
        <w:t xml:space="preserve">оммунальных квартирах м</w:t>
      </w:r>
      <w:r>
        <w:rPr>
          <w:sz w:val="28"/>
          <w:szCs w:val="28"/>
        </w:rPr>
        <w:t xml:space="preserve">ногоквартирных домов (в пределах общей площади), для нанимателей и собственников, проживающих в отдельных комнатах жилых домов, ранее имевших статус общежития, и нанимателей комнат в коммунальных квартирах (в пределах жилой площади).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4"/>
        <w:ind w:left="0" w:firstLine="720"/>
        <w:jc w:val="both"/>
        <w:spacing w:after="0" w:line="240" w:lineRule="auto"/>
        <w:tabs>
          <w:tab w:val="left" w:pos="851" w:leader="none"/>
          <w:tab w:val="left" w:pos="1134" w:leader="none"/>
          <w:tab w:val="left" w:pos="1560" w:leader="none"/>
        </w:tabs>
        <w:rPr>
          <w:rFonts w:ascii="Times New Roman" w:hAnsi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Признать утратившими силу п</w:t>
      </w:r>
      <w:r>
        <w:rPr>
          <w:rFonts w:ascii="Times New Roman" w:hAnsi="Times New Roman"/>
          <w:sz w:val="28"/>
          <w:szCs w:val="28"/>
        </w:rPr>
        <w:t xml:space="preserve">остановления администрации города Перми: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4"/>
        <w:ind w:left="0" w:firstLine="720"/>
        <w:jc w:val="both"/>
        <w:spacing w:after="0" w:line="240" w:lineRule="auto"/>
        <w:tabs>
          <w:tab w:val="left" w:pos="851" w:leader="none"/>
          <w:tab w:val="left" w:pos="1134" w:leader="none"/>
          <w:tab w:val="left" w:pos="1560" w:leader="none"/>
        </w:tabs>
        <w:rPr>
          <w:rFonts w:ascii="Times New Roman" w:hAnsi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от 03 ноября </w:t>
      </w:r>
      <w:r>
        <w:rPr>
          <w:rFonts w:ascii="Times New Roman" w:hAnsi="Times New Roman"/>
          <w:sz w:val="28"/>
          <w:szCs w:val="28"/>
        </w:rPr>
        <w:t xml:space="preserve">2022 г. № 1125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установлении размера платы за содержание жилого помещения в городе Перми и признании утратившим силу постановления администрации города Перми от 28.12.2021 № 1241 «Об установлении размера платы за содержание жилого помещения в городе Перми»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06 февраля 2023 г. № 77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города Перми от 03.11.2022 № 1125 «Об установлении размера платы за содержание жилого помещения в городе Перми и признании утратившим силу постановления администрации города Перми от 28.12.2021 № 1241 «Об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установлении размера платы за содержание жилого помещения в городе Перми»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4"/>
        <w:ind w:left="0" w:firstLine="720"/>
        <w:jc w:val="both"/>
        <w:spacing w:after="0" w:line="240" w:lineRule="auto"/>
        <w:tabs>
          <w:tab w:val="left" w:pos="851" w:leader="none"/>
          <w:tab w:val="left" w:pos="1134" w:leader="none"/>
          <w:tab w:val="left" w:pos="1560" w:leader="none"/>
        </w:tabs>
        <w:rPr>
          <w:rFonts w:ascii="Times New Roman" w:hAnsi="Times New Roman" w:eastAsia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</w:t>
      </w:r>
      <w:r>
        <w:rPr>
          <w:rFonts w:ascii="Times New Roman" w:hAnsi="Times New Roman"/>
          <w:sz w:val="28"/>
          <w:szCs w:val="28"/>
        </w:rPr>
        <w:t xml:space="preserve">силу с 0</w:t>
      </w: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апреля</w:t>
      </w:r>
      <w:r>
        <w:rPr>
          <w:rFonts w:ascii="Times New Roman" w:hAnsi="Times New Roman"/>
          <w:sz w:val="28"/>
          <w:szCs w:val="28"/>
        </w:rPr>
        <w:t xml:space="preserve"> 2026</w:t>
      </w:r>
      <w:r>
        <w:rPr>
          <w:rFonts w:ascii="Times New Roman" w:hAnsi="Times New Roman"/>
          <w:sz w:val="28"/>
          <w:szCs w:val="28"/>
        </w:rPr>
        <w:t xml:space="preserve"> г.,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 xml:space="preserve">но не ранее дня </w:t>
      </w:r>
      <w:r>
        <w:rPr>
          <w:rFonts w:ascii="Times New Roman" w:hAnsi="Times New Roman"/>
          <w:sz w:val="28"/>
          <w:szCs w:val="28"/>
        </w:rPr>
        <w:t xml:space="preserve">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contextualSpacing w:val="0"/>
        <w:ind w:left="0" w:right="0" w:firstLine="720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5.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о образования город Пермь».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contextualSpacing w:val="0"/>
        <w:ind w:left="0" w:right="0" w:firstLine="720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6.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3" w:tooltip="&lt;div class=&quot;doc www&quot;&gt;&lt;span class=&quot;aligner&quot;&gt;&lt;div class=&quot;icon listDocWWW-16&quot;&gt;&lt;/div&gt;&lt;/span&gt;www.gorodperm.ru&lt;/div&gt;" w:history="1">
        <w:r>
          <w:rPr>
            <w:rStyle w:val="897"/>
            <w:rFonts w:ascii="Times New Roman" w:hAnsi="Times New Roman" w:eastAsia="Times New Roman" w:cs="Times New Roman"/>
            <w:color w:val="auto"/>
            <w:sz w:val="28"/>
            <w:szCs w:val="28"/>
            <w:u w:val="none"/>
          </w:rPr>
          <w:t xml:space="preserve">www.gorodperm.ru</w:t>
        </w:r>
      </w:hyperlink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».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15"/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Контроль за исполнением </w:t>
      </w:r>
      <w:r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заместителя главы администрации го</w:t>
      </w:r>
      <w:r>
        <w:rPr>
          <w:sz w:val="28"/>
          <w:szCs w:val="28"/>
        </w:rPr>
        <w:t xml:space="preserve">рода Перми </w:t>
      </w:r>
      <w:r>
        <w:rPr>
          <w:color w:val="000000" w:themeColor="text1"/>
          <w:sz w:val="28"/>
          <w:szCs w:val="28"/>
        </w:rPr>
        <w:t xml:space="preserve">Балахнина А.А.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jc w:val="both"/>
        <w:tabs>
          <w:tab w:val="left" w:pos="83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И.о. Главы гор</w:t>
      </w:r>
      <w:r>
        <w:rPr>
          <w:sz w:val="28"/>
          <w:szCs w:val="28"/>
        </w:rPr>
        <w:t xml:space="preserve">ода Перми</w:t>
      </w:r>
      <w:r>
        <w:rPr>
          <w:sz w:val="28"/>
          <w:szCs w:val="28"/>
        </w:rPr>
        <w:t xml:space="preserve">                                                                         Я.В. Фурман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hd w:val="nil" w:color="auto"/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1906" w:h="16838" w:orient="portrait"/>
          <w:pgMar w:top="1134" w:right="567" w:bottom="1418" w:left="1417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528"/>
        <w:spacing w:line="238" w:lineRule="exact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УТВЕРЖДЕН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528"/>
        <w:spacing w:line="238" w:lineRule="exact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постановлением администрации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528"/>
        <w:spacing w:line="238" w:lineRule="exact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города Перми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528"/>
        <w:spacing w:line="238" w:lineRule="exact"/>
        <w:shd w:val="nil" w:color="000000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от </w:t>
      </w:r>
      <w:r>
        <w:rPr>
          <w:sz w:val="28"/>
          <w:szCs w:val="28"/>
          <w:highlight w:val="none"/>
        </w:rPr>
        <w:t xml:space="preserve">27.03.2026 № 185</w:t>
      </w:r>
      <w:r>
        <w:rPr>
          <w:sz w:val="28"/>
          <w:szCs w:val="28"/>
        </w:rPr>
      </w:r>
    </w:p>
    <w:p>
      <w:pPr>
        <w:pStyle w:val="915"/>
        <w:ind w:left="0" w:right="0" w:firstLine="5528"/>
        <w:jc w:val="both"/>
        <w:spacing w:line="238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9"/>
        <w:ind w:left="0" w:right="0" w:firstLine="5528"/>
        <w:jc w:val="left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</w:rPr>
        <w:outlineLvl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39"/>
        <w:ind w:left="0" w:right="0" w:firstLine="5528"/>
        <w:jc w:val="left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</w:rPr>
        <w:outlineLvl w:val="0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39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РАЗМЕР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39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платы за содержание жилого помещения в городе Перми для нанимателей жилых помещений по договорам социального найма и договорам найма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39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жилых помещений муниципального и государственного жилищного фондов и собс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твенников жилых помещений, которые не приняли решение о выборе способа управления многоквартирным домом или не приняли решение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39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размера платы за содержание жилого помещения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39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(для нанимателей и собственников, проживающих в отдельных квартирах)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939"/>
        <w:jc w:val="center"/>
        <w:spacing w:after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39"/>
        <w:jc w:val="center"/>
        <w:spacing w:after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771"/>
        <w:tblW w:w="0" w:type="auto"/>
        <w:tblInd w:w="-549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837"/>
        <w:gridCol w:w="7402"/>
        <w:gridCol w:w="2237"/>
      </w:tblGrid>
      <w:tr>
        <w:tblPrEx/>
        <w:trPr>
          <w:trHeight w:val="114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top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top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Наименование работ и услуг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top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за единицу работы/услуги (руб./кв. м) общей/жилой площади помещения в месяц (с НДС 22 %) на 2026 год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r/>
      <w:r/>
    </w:p>
    <w:tbl>
      <w:tblPr>
        <w:tblStyle w:val="771"/>
        <w:tblW w:w="0" w:type="auto"/>
        <w:tblInd w:w="-549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837"/>
        <w:gridCol w:w="7402"/>
        <w:gridCol w:w="2237"/>
      </w:tblGrid>
      <w:tr>
        <w:tblPrEx/>
        <w:trPr>
          <w:trHeight w:val="285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0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работы, необходи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мые для надлежащего содержания несущих конструкций (фундаментов, стен, фасадов,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5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отношении всех видов фундаментов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8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для надлежащего содержания стен, фасадов МКД, перегородок в МКД, колонн и столбов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8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перекрытий и покрытий МКД, балок (ригелей) перекрытий и покрытий МКД, полов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7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крыш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внутренней отделки МКД, надлежащего содержания лестниц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мусоропроводов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вентиляции и дымоудаления МКД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1,87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печей, каминов и очагов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4,55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индивидуальных тепловых пунктов и водоподкачек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кожухотрубный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4,69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пластинчатый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4,41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65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70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осмотр водопровода, канализации и горячего водоснабжения, проверка исправности канализационных вытяжек, промывка участка водопровода, прочистка канализационного лежака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2,53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80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контрольно-измерительных приборов, автоматических регуляторов и устройств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2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коллективных (общедомовых) приборов учета: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холодного, горячего водоснабжения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отопления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5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4,52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6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7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внутридомового газового оборудования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9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техническое обслуживание системы внутридомового газового оборудования и ее отдельных элементов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устранению неисправностей внутридомового газового оборудования, способных повлечь скопление газа в помещениях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5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техническому диагностированию внутридомового газового оборудования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лифта (лифтов)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комплексное техническое обслуживание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5,64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периодическое техническое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1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оценка соответствия лифта (лифтов), отработавшего (их) нормативный срок службы*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0,50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3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частичное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69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МКД, оборудованных автономной газовой котельной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0,97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и услуги по содержанию иного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обеспечению вывоза, в том числе откачке, жидких бытовых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5,42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5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Устранение аварии и выполнение заявок населения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0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0,71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7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помещений, входящих в состав общего имущества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8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сухая и влажная уборка тамбуров, холлов, коридоров, галерей, лифтовых площадок и лифтовых холлов и кабин, лестничных площадок и маршей, пандусов: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без лифтов и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6,34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с лифтами и (или) мусоропроводом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0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пола кабины лифта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83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8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Мытье окон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8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Очистка систем защиты от грязи (металлических решеток, ячеистых покрытий, приямков, текстильных матов)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6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Проведение дератизации и дезинсекции помещений, входящих в состав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Содержание мест (площадок) накопления твердых коммунальных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Обслуживание и очистка мусоропроводов, мусороприемных камер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2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Организа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ция накопления отходов I-IV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77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97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придомовой территории для многоквартирных домов в холодный период года (очистка кровли от снега, сбивание сосулек, очистка крышек люко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 колодцев и пожарных гидрантов от снега и льда толщиной слоя свыше 5 см; сдвигание свежевыпавшего снега и очистка придомовой территории от снега и льда при наличии колейности свыше 5 см; очистка придомовой территории от снега наносного происхождения (или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подметание такой территории, свободной от снежного покрова); очистка придомовой территории от наледи и льда; очистка от мусора урн, установленных возле подъездов, и их промывка; уборка крыльца и площадки перед входом в подъезд) и в теплый период года (подм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етание и уборка придомовой территории; очистка от мусора и промывка урн, установленных возле подъездов; уборка и выкашивание газонов; прочистка ливневой канализации; уборка крыльца и площадки перед входом в подъезд, очистка металлической решетки и приямка)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5,18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08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услуги управления многоквартирным домом, в том числе: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5,91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91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Расходы на оплату труда и отчисления на социальные нужды работников, занятых управлением многоквартирным домом, и прочее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4,55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Услуги биллинга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9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текущий ремонт жилого здания по типам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Смешанный, деревянный или кирпичный до 1920 года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6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Смешанный, деревянный или кирпичный с 1921 по 1945 годов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7,87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7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Смешанный, деревянный, блочный, крупнопанельный или кирпичный (включая монолитный) с 1946 по 1970 годов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9,49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6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Блочный, крупнопанельный, деревянный или кирпичный с 1971 по 1995 годов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8,50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2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Блочный, крупнопанельный или кирпичный после 1995 года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37" w:type="dxa"/>
            <w:vAlign w:val="center"/>
            <w:textDirection w:val="lrTb"/>
            <w:noWrap w:val="false"/>
          </w:tcPr>
          <w:p>
            <w:pPr>
              <w:ind w:left="57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6,78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ind w:left="0" w:right="0" w:firstLine="0"/>
        <w:jc w:val="left"/>
        <w:spacing w:after="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15"/>
        <w:ind w:left="0" w:right="0" w:firstLine="0"/>
        <w:jc w:val="left"/>
        <w:spacing w:after="1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  <w:t xml:space="preserve">—————————————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68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  <w:suppressLineNumbers w:val="0"/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При оценке соответствия лифта (лифтов) со сроком ввода в эксплуатацию более 25 лет.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915"/>
        <w:ind w:left="5670"/>
        <w:jc w:val="both"/>
        <w:tabs>
          <w:tab w:val="left" w:pos="8364" w:leader="none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15"/>
        <w:ind w:left="5670"/>
        <w:jc w:val="both"/>
        <w:tabs>
          <w:tab w:val="left" w:pos="8364" w:leader="none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shd w:val="nil" w:color="auto"/>
        <w:rPr>
          <w:b w:val="0"/>
          <w:bCs w:val="0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418" w:left="1417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 w:right="0" w:firstLine="5528"/>
        <w:spacing w:line="238" w:lineRule="exact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УТВЕРЖДЕН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528"/>
        <w:spacing w:line="238" w:lineRule="exact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постановлением администрации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528"/>
        <w:spacing w:line="238" w:lineRule="exact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города Перми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528"/>
        <w:spacing w:line="238" w:lineRule="exact"/>
        <w:shd w:val="nil" w:color="000000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  <w:t xml:space="preserve">27.03.2026 № 185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hd w:val="nil" w:color="00000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39"/>
        <w:jc w:val="righ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15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46"/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6"/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платы за содержание жилого помещения в городе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6"/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нанимателей жилых помещений по договорам социального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найма</w:t>
        <w:br/>
        <w:t xml:space="preserve">и договорам найма жилых помещений 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государственного жилищного фондов и собственников жилых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помещений, которые не приняли решение о выборе способа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многоквартирным домом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6"/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 не приняли 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размера платы за 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6"/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жилого помещения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(для нанимателей комнат в коммунальных квартирах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многоквартирных домов (в пределах общей площади),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нанимателей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6"/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собственников, проживающих в отдельных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комнатах жилых домов, ранее имевших статус общежития,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нанимателей комнат в коммунальных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6"/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квартирах (в пределах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жилой площади)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39"/>
        <w:spacing w:after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39"/>
        <w:spacing w:after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tbl>
      <w:tblPr>
        <w:tblStyle w:val="771"/>
        <w:tblW w:w="0" w:type="auto"/>
        <w:tblLayout w:type="fixed"/>
        <w:tblLook w:val="04A0" w:firstRow="1" w:lastRow="0" w:firstColumn="1" w:lastColumn="0" w:noHBand="0" w:noVBand="1"/>
      </w:tblPr>
      <w:tblGrid>
        <w:gridCol w:w="997"/>
        <w:gridCol w:w="7302"/>
        <w:gridCol w:w="1573"/>
      </w:tblGrid>
      <w:tr>
        <w:tblPrEx/>
        <w:trPr>
          <w:trHeight w:val="208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Наименование работ и услуг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  <w:p>
            <w:pPr>
              <w:ind w:left="57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за единицу работы/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  <w:p>
            <w:pPr>
              <w:ind w:left="57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услуги (руб./кв. м) общей/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  <w:p>
            <w:pPr>
              <w:ind w:left="57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жилой площади помещения в месяц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  <w:p>
            <w:pPr>
              <w:ind w:left="57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(с НДС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  <w:p>
            <w:pPr>
              <w:ind w:left="57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22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%)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</w:tbl>
    <w:p>
      <w:pPr>
        <w:spacing w:line="149" w:lineRule="auto"/>
      </w:pPr>
      <w:r/>
      <w:r/>
    </w:p>
    <w:tbl>
      <w:tblPr>
        <w:tblStyle w:val="771"/>
        <w:tblW w:w="0" w:type="auto"/>
        <w:tblLayout w:type="fixed"/>
        <w:tblLook w:val="04A0" w:firstRow="1" w:lastRow="0" w:firstColumn="1" w:lastColumn="0" w:noHBand="0" w:noVBand="1"/>
      </w:tblPr>
      <w:tblGrid>
        <w:gridCol w:w="997"/>
        <w:gridCol w:w="7302"/>
        <w:gridCol w:w="1573"/>
      </w:tblGrid>
      <w:tr>
        <w:tblPrEx/>
        <w:trPr>
          <w:trHeight w:val="285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работы, необходи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мые для надлежащего содержания несущих конструкций (фундаментов, стен, фасадов,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3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отношении всех видов фундаментов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2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для надлежащего содержания стен, фасадов МКД, перегородок в МКД, колонн и столбов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6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перекрытий и покрытий МКД, балок (ригелей) перекрытий и покрытий МКД, полов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крыш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6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внутренней отделки МКД, надлежащего содержания лестниц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5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мусоропроводов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вентиляции и дымоудаления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7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печей, каминов и очагов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5,82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индивидуальных тепловых пунктов и водоподкачек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кожухотрубный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4,69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пластинчатый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4,41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1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vMerge w:val="restart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vMerge w:val="restart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 в МКД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11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осмотр водопровода, канализации и горячего водоснабжения, проверка исправности канализационных вытяжек, промывка участка водопровода, прочистка канализационного лежака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3,65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контрольно-измерительных приборов, автоматических регуляторов и устройств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коллективных (общедомовых) приборов учета: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холодного, горячего водоснабжения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отопления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9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2,97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внутридомового газового оборудования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техническое обслуживание системы внутридомового газового оборудования и ее отдельных элементов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устранению неисправностей внутридомового газового оборудования, способных повлечь скопление газа в помещениях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1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техническому диагностированию внутридомового газового оборудования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6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лифта (лифтов)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комплексное техническое обслуживание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5,64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периодическое техническое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оценка соответствия лифта (лифтов), отработавшего (их) нормативный срок службы*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0,50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6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частичное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3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МКД, оборудованных автономной газовой котельной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0,97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и услуги по содержанию иного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обеспечению вывоза, в том числе откачке, жидких бытовых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5,42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8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Устранение аварии и выполнение заявок населения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7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0,71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помещений, входящих в состав общего имущества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1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сухая и влажная уборка тамбуров, холлов, коридоров, галерей, лифтовых площадок и лифтовых холлов и кабин, лестничных площадок и маршей, пандусов: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без лифтов и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2,28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7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с лифтами без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5,83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пола кабины лифта в домах с лифтами без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6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с лифтами и (или) мусоропроводом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5,75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пола кабины лифта в домах с лифтами и мусоропроводами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Мытье окон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Очистка систем защиты от грязи (металлических решеток, ячеистых покрытий, приямков, текстильных матов)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3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Проведение дератизации и дезинсекции помещений, входящих в состав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Содержание мест (площадок) накопления твердых коммунальных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1,98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Обслуживание и очистка мусоропроводов, мусороприемных камер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1,18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7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Организа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ция накопления отходов I-IV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1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придомовой территории для многоквартирных домов в холодный период года (очистка кровли от снега, сбивание сосулек, очистка крышек люко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 колодцев и пожарных гидрантов от снега и льда толщиной слоя свыше 5 см; сдвигание свежевыпавшего снега и очистка придомовой территории от снега и льда при наличии колейности свыше 5 см; очистка придомовой территории от снега наносного происхождения (или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подметание такой территории, свободной от снежного покрова); очистка придомовой территории от наледи и льда; очистка от мусора урн, установленных возле подъездов, и их промывка; уборка крыльца и площадки перед входом в подъезд) и в теплый период года (подм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етание и уборка придомовой территории; очистка от мусора и промывка урн, установленных возле подъездов; уборка и выкашивание газонов; прочистка ливневой канализации; уборка крыльца и площадки перед входом в подъезд, очистка металлической решетки и приямка)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5,24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9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6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услуги управления многоквартирным домом, в том числе: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6,35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9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Расходы на оплату труда и отчисления на социальные нужды работников, занятых управлением многоквартирным домом, и прочее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4,99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Услуги биллинга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1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875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текущий ремонт жилого здания по типам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9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02" w:type="dxa"/>
            <w:vAlign w:val="center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Жилые дома, ранее имевшие статус общежития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7,78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pStyle w:val="9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5"/>
        <w:ind w:left="0" w:right="0" w:firstLine="0"/>
        <w:jc w:val="both"/>
        <w:spacing w:after="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———————————————-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680"/>
        <w:rPr>
          <w:rFonts w:ascii="Times New Roman" w:hAnsi="Times New Roman" w:cs="Times New Roman"/>
          <w:b w:val="0"/>
          <w:bCs w:val="0"/>
          <w:sz w:val="24"/>
          <w:szCs w:val="24"/>
        </w:rPr>
        <w:suppressLineNumbers w:val="0"/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При оценке соответствия лифта (лифтов) со сроком ввода в эксплуатацию более 25 лет.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418" w:left="1417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803050406030204"/>
  </w:font>
  <w:font w:name="Calibri">
    <w:panose1 w:val="020F0502020204030204"/>
  </w:font>
  <w:font w:name="Segoe UI">
    <w:panose1 w:val="020B050302020402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6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rPr>
        <w:rStyle w:val="925"/>
      </w:rPr>
      <w:framePr w:wrap="around" w:vAnchor="text" w:hAnchor="margin" w:xAlign="center" w:y="1"/>
    </w:pPr>
    <w:r>
      <w:rPr>
        <w:rStyle w:val="925"/>
      </w:rPr>
      <w:fldChar w:fldCharType="begin"/>
    </w:r>
    <w:r>
      <w:rPr>
        <w:rStyle w:val="925"/>
      </w:rPr>
      <w:instrText xml:space="preserve">PAGE  </w:instrText>
    </w:r>
    <w:r>
      <w:rPr>
        <w:rStyle w:val="925"/>
      </w:rPr>
      <w:fldChar w:fldCharType="end"/>
    </w:r>
    <w:r>
      <w:rPr>
        <w:rStyle w:val="925"/>
      </w:rPr>
    </w:r>
    <w:r>
      <w:rPr>
        <w:rStyle w:val="925"/>
      </w:rPr>
    </w:r>
  </w:p>
  <w:p>
    <w:pPr>
      <w:pStyle w:val="92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2160"/>
      </w:pPr>
    </w:lvl>
  </w:abstractNum>
  <w:abstractNum w:abstractNumId="1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75" w:hanging="375"/>
      </w:pPr>
      <w:rPr>
        <w:rFonts w:cs="Times New Roman"/>
      </w:rPr>
    </w:lvl>
    <w:lvl w:ilvl="1">
      <w:start w:val="9"/>
      <w:numFmt w:val="decimal"/>
      <w:isLgl w:val="false"/>
      <w:suff w:val="tab"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00" w:hanging="600"/>
      </w:pPr>
      <w:rPr>
        <w:rFonts w:cs="Times New Roman"/>
      </w:rPr>
    </w:lvl>
    <w:lvl w:ilvl="1">
      <w:start w:val="17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cs="Times New Roman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00" w:hanging="600"/>
      </w:pPr>
      <w:rPr>
        <w:rFonts w:cs="Times New Roman"/>
      </w:rPr>
    </w:lvl>
    <w:lvl w:ilvl="1">
      <w:start w:val="10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cs="Times New Roman"/>
      </w:r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8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9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84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5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2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1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20" w:hanging="216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2160"/>
      </w:pPr>
    </w:lvl>
  </w:abstractNum>
  <w:abstractNum w:abstractNumId="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7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4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6"/>
  </w:num>
  <w:num w:numId="13">
    <w:abstractNumId w:val="8"/>
  </w:num>
  <w:num w:numId="14">
    <w:abstractNumId w:val="7"/>
  </w:num>
  <w:num w:numId="15">
    <w:abstractNumId w:val="13"/>
  </w:num>
  <w:num w:numId="16">
    <w:abstractNumId w:val="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5"/>
    <w:next w:val="915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link w:val="738"/>
    <w:uiPriority w:val="9"/>
    <w:rPr>
      <w:rFonts w:ascii="Arial" w:hAnsi="Arial" w:eastAsia="Arial" w:cs="Arial"/>
      <w:sz w:val="40"/>
      <w:szCs w:val="40"/>
    </w:rPr>
  </w:style>
  <w:style w:type="paragraph" w:styleId="740">
    <w:name w:val="Heading 2"/>
    <w:basedOn w:val="915"/>
    <w:next w:val="915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link w:val="74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15"/>
    <w:next w:val="915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15"/>
    <w:next w:val="915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5"/>
    <w:next w:val="915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5"/>
    <w:next w:val="915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5"/>
    <w:next w:val="915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5"/>
    <w:next w:val="915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5"/>
    <w:next w:val="915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No Spacing"/>
    <w:uiPriority w:val="1"/>
    <w:qFormat/>
    <w:pPr>
      <w:spacing w:before="0" w:after="0" w:line="240" w:lineRule="auto"/>
    </w:pPr>
  </w:style>
  <w:style w:type="paragraph" w:styleId="757">
    <w:name w:val="Title"/>
    <w:basedOn w:val="915"/>
    <w:next w:val="915"/>
    <w:link w:val="75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8">
    <w:name w:val="Title Char"/>
    <w:link w:val="757"/>
    <w:uiPriority w:val="10"/>
    <w:rPr>
      <w:sz w:val="48"/>
      <w:szCs w:val="48"/>
    </w:rPr>
  </w:style>
  <w:style w:type="paragraph" w:styleId="759">
    <w:name w:val="Subtitle"/>
    <w:basedOn w:val="915"/>
    <w:next w:val="915"/>
    <w:link w:val="760"/>
    <w:uiPriority w:val="11"/>
    <w:qFormat/>
    <w:pPr>
      <w:spacing w:before="200" w:after="200"/>
    </w:pPr>
    <w:rPr>
      <w:sz w:val="24"/>
      <w:szCs w:val="24"/>
    </w:rPr>
  </w:style>
  <w:style w:type="character" w:styleId="760">
    <w:name w:val="Subtitle Char"/>
    <w:link w:val="759"/>
    <w:uiPriority w:val="11"/>
    <w:rPr>
      <w:sz w:val="24"/>
      <w:szCs w:val="24"/>
    </w:rPr>
  </w:style>
  <w:style w:type="paragraph" w:styleId="761">
    <w:name w:val="Quote"/>
    <w:basedOn w:val="915"/>
    <w:next w:val="915"/>
    <w:link w:val="762"/>
    <w:uiPriority w:val="29"/>
    <w:qFormat/>
    <w:pPr>
      <w:ind w:left="720" w:right="720"/>
    </w:pPr>
    <w:rPr>
      <w:i/>
    </w:rPr>
  </w:style>
  <w:style w:type="character" w:styleId="762">
    <w:name w:val="Quote Char"/>
    <w:link w:val="761"/>
    <w:uiPriority w:val="29"/>
    <w:rPr>
      <w:i/>
    </w:rPr>
  </w:style>
  <w:style w:type="paragraph" w:styleId="763">
    <w:name w:val="Intense Quote"/>
    <w:basedOn w:val="915"/>
    <w:next w:val="915"/>
    <w:link w:val="76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4">
    <w:name w:val="Intense Quote Char"/>
    <w:link w:val="763"/>
    <w:uiPriority w:val="30"/>
    <w:rPr>
      <w:i/>
    </w:rPr>
  </w:style>
  <w:style w:type="paragraph" w:styleId="765">
    <w:name w:val="Header"/>
    <w:basedOn w:val="915"/>
    <w:link w:val="7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6">
    <w:name w:val="Header Char"/>
    <w:link w:val="765"/>
    <w:uiPriority w:val="99"/>
  </w:style>
  <w:style w:type="paragraph" w:styleId="767">
    <w:name w:val="Footer"/>
    <w:basedOn w:val="915"/>
    <w:link w:val="7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8">
    <w:name w:val="Footer Char"/>
    <w:link w:val="767"/>
    <w:uiPriority w:val="99"/>
  </w:style>
  <w:style w:type="paragraph" w:styleId="769">
    <w:name w:val="Caption"/>
    <w:basedOn w:val="915"/>
    <w:next w:val="915"/>
    <w:link w:val="7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0">
    <w:name w:val="Caption Char"/>
    <w:basedOn w:val="769"/>
    <w:link w:val="767"/>
    <w:uiPriority w:val="99"/>
  </w:style>
  <w:style w:type="table" w:styleId="77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7">
    <w:name w:val="Hyperlink"/>
    <w:uiPriority w:val="99"/>
    <w:unhideWhenUsed/>
    <w:rPr>
      <w:color w:val="0000ff" w:themeColor="hyperlink"/>
      <w:u w:val="single"/>
    </w:rPr>
  </w:style>
  <w:style w:type="paragraph" w:styleId="898">
    <w:name w:val="footnote text"/>
    <w:basedOn w:val="915"/>
    <w:link w:val="899"/>
    <w:uiPriority w:val="99"/>
    <w:semiHidden/>
    <w:unhideWhenUsed/>
    <w:pPr>
      <w:spacing w:after="40" w:line="240" w:lineRule="auto"/>
    </w:pPr>
    <w:rPr>
      <w:sz w:val="18"/>
    </w:rPr>
  </w:style>
  <w:style w:type="character" w:styleId="899">
    <w:name w:val="Footnote Text Char"/>
    <w:link w:val="898"/>
    <w:uiPriority w:val="99"/>
    <w:rPr>
      <w:sz w:val="18"/>
    </w:rPr>
  </w:style>
  <w:style w:type="character" w:styleId="900">
    <w:name w:val="footnote reference"/>
    <w:uiPriority w:val="99"/>
    <w:unhideWhenUsed/>
    <w:rPr>
      <w:vertAlign w:val="superscript"/>
    </w:rPr>
  </w:style>
  <w:style w:type="paragraph" w:styleId="901">
    <w:name w:val="endnote text"/>
    <w:basedOn w:val="915"/>
    <w:link w:val="902"/>
    <w:uiPriority w:val="99"/>
    <w:semiHidden/>
    <w:unhideWhenUsed/>
    <w:pPr>
      <w:spacing w:after="0" w:line="240" w:lineRule="auto"/>
    </w:pPr>
    <w:rPr>
      <w:sz w:val="20"/>
    </w:rPr>
  </w:style>
  <w:style w:type="character" w:styleId="902">
    <w:name w:val="Endnote Text Char"/>
    <w:link w:val="901"/>
    <w:uiPriority w:val="99"/>
    <w:rPr>
      <w:sz w:val="20"/>
    </w:rPr>
  </w:style>
  <w:style w:type="character" w:styleId="903">
    <w:name w:val="endnote reference"/>
    <w:uiPriority w:val="99"/>
    <w:semiHidden/>
    <w:unhideWhenUsed/>
    <w:rPr>
      <w:vertAlign w:val="superscript"/>
    </w:rPr>
  </w:style>
  <w:style w:type="paragraph" w:styleId="904">
    <w:name w:val="toc 1"/>
    <w:basedOn w:val="915"/>
    <w:next w:val="915"/>
    <w:uiPriority w:val="39"/>
    <w:unhideWhenUsed/>
    <w:pPr>
      <w:ind w:left="0" w:right="0" w:firstLine="0"/>
      <w:spacing w:after="57"/>
    </w:pPr>
  </w:style>
  <w:style w:type="paragraph" w:styleId="905">
    <w:name w:val="toc 2"/>
    <w:basedOn w:val="915"/>
    <w:next w:val="915"/>
    <w:uiPriority w:val="39"/>
    <w:unhideWhenUsed/>
    <w:pPr>
      <w:ind w:left="283" w:right="0" w:firstLine="0"/>
      <w:spacing w:after="57"/>
    </w:pPr>
  </w:style>
  <w:style w:type="paragraph" w:styleId="906">
    <w:name w:val="toc 3"/>
    <w:basedOn w:val="915"/>
    <w:next w:val="915"/>
    <w:uiPriority w:val="39"/>
    <w:unhideWhenUsed/>
    <w:pPr>
      <w:ind w:left="567" w:right="0" w:firstLine="0"/>
      <w:spacing w:after="57"/>
    </w:pPr>
  </w:style>
  <w:style w:type="paragraph" w:styleId="907">
    <w:name w:val="toc 4"/>
    <w:basedOn w:val="915"/>
    <w:next w:val="915"/>
    <w:uiPriority w:val="39"/>
    <w:unhideWhenUsed/>
    <w:pPr>
      <w:ind w:left="850" w:right="0" w:firstLine="0"/>
      <w:spacing w:after="57"/>
    </w:pPr>
  </w:style>
  <w:style w:type="paragraph" w:styleId="908">
    <w:name w:val="toc 5"/>
    <w:basedOn w:val="915"/>
    <w:next w:val="915"/>
    <w:uiPriority w:val="39"/>
    <w:unhideWhenUsed/>
    <w:pPr>
      <w:ind w:left="1134" w:right="0" w:firstLine="0"/>
      <w:spacing w:after="57"/>
    </w:pPr>
  </w:style>
  <w:style w:type="paragraph" w:styleId="909">
    <w:name w:val="toc 6"/>
    <w:basedOn w:val="915"/>
    <w:next w:val="915"/>
    <w:uiPriority w:val="39"/>
    <w:unhideWhenUsed/>
    <w:pPr>
      <w:ind w:left="1417" w:right="0" w:firstLine="0"/>
      <w:spacing w:after="57"/>
    </w:pPr>
  </w:style>
  <w:style w:type="paragraph" w:styleId="910">
    <w:name w:val="toc 7"/>
    <w:basedOn w:val="915"/>
    <w:next w:val="915"/>
    <w:uiPriority w:val="39"/>
    <w:unhideWhenUsed/>
    <w:pPr>
      <w:ind w:left="1701" w:right="0" w:firstLine="0"/>
      <w:spacing w:after="57"/>
    </w:pPr>
  </w:style>
  <w:style w:type="paragraph" w:styleId="911">
    <w:name w:val="toc 8"/>
    <w:basedOn w:val="915"/>
    <w:next w:val="915"/>
    <w:uiPriority w:val="39"/>
    <w:unhideWhenUsed/>
    <w:pPr>
      <w:ind w:left="1984" w:right="0" w:firstLine="0"/>
      <w:spacing w:after="57"/>
    </w:pPr>
  </w:style>
  <w:style w:type="paragraph" w:styleId="912">
    <w:name w:val="toc 9"/>
    <w:basedOn w:val="915"/>
    <w:next w:val="915"/>
    <w:uiPriority w:val="39"/>
    <w:unhideWhenUsed/>
    <w:pPr>
      <w:ind w:left="2268" w:right="0" w:firstLine="0"/>
      <w:spacing w:after="57"/>
    </w:pPr>
  </w:style>
  <w:style w:type="paragraph" w:styleId="913">
    <w:name w:val="TOC Heading"/>
    <w:uiPriority w:val="39"/>
    <w:unhideWhenUsed/>
  </w:style>
  <w:style w:type="paragraph" w:styleId="914">
    <w:name w:val="table of figures"/>
    <w:basedOn w:val="915"/>
    <w:next w:val="915"/>
    <w:uiPriority w:val="99"/>
    <w:unhideWhenUsed/>
    <w:pPr>
      <w:spacing w:after="0" w:afterAutospacing="0"/>
    </w:pPr>
  </w:style>
  <w:style w:type="paragraph" w:styleId="915" w:default="1">
    <w:name w:val="Normal"/>
    <w:next w:val="915"/>
    <w:link w:val="915"/>
    <w:qFormat/>
    <w:rPr>
      <w:lang w:val="ru-RU" w:eastAsia="ru-RU" w:bidi="ar-SA"/>
    </w:rPr>
  </w:style>
  <w:style w:type="paragraph" w:styleId="916">
    <w:name w:val="Заголовок 1"/>
    <w:basedOn w:val="915"/>
    <w:next w:val="915"/>
    <w:link w:val="915"/>
    <w:qFormat/>
    <w:pPr>
      <w:ind w:right="-1" w:firstLine="709"/>
      <w:jc w:val="both"/>
      <w:keepNext/>
      <w:outlineLvl w:val="0"/>
    </w:pPr>
    <w:rPr>
      <w:sz w:val="24"/>
    </w:rPr>
  </w:style>
  <w:style w:type="paragraph" w:styleId="917">
    <w:name w:val="Заголовок 2"/>
    <w:basedOn w:val="915"/>
    <w:next w:val="915"/>
    <w:link w:val="915"/>
    <w:qFormat/>
    <w:pPr>
      <w:ind w:right="-1"/>
      <w:jc w:val="both"/>
      <w:keepNext/>
      <w:outlineLvl w:val="1"/>
    </w:pPr>
    <w:rPr>
      <w:sz w:val="24"/>
    </w:rPr>
  </w:style>
  <w:style w:type="character" w:styleId="918">
    <w:name w:val="Основной шрифт абзаца"/>
    <w:next w:val="918"/>
    <w:link w:val="915"/>
    <w:semiHidden/>
  </w:style>
  <w:style w:type="table" w:styleId="919">
    <w:name w:val="Обычная таблица"/>
    <w:next w:val="919"/>
    <w:link w:val="915"/>
    <w:semiHidden/>
    <w:tblPr/>
  </w:style>
  <w:style w:type="numbering" w:styleId="920">
    <w:name w:val="Нет списка"/>
    <w:next w:val="920"/>
    <w:link w:val="915"/>
    <w:uiPriority w:val="99"/>
    <w:semiHidden/>
  </w:style>
  <w:style w:type="paragraph" w:styleId="921">
    <w:name w:val="Название объекта"/>
    <w:basedOn w:val="915"/>
    <w:next w:val="915"/>
    <w:link w:val="91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22">
    <w:name w:val="Основной текст"/>
    <w:basedOn w:val="915"/>
    <w:next w:val="922"/>
    <w:link w:val="933"/>
    <w:pPr>
      <w:ind w:right="3117"/>
    </w:pPr>
    <w:rPr>
      <w:rFonts w:ascii="Courier New" w:hAnsi="Courier New"/>
      <w:sz w:val="26"/>
    </w:rPr>
  </w:style>
  <w:style w:type="paragraph" w:styleId="923">
    <w:name w:val="Основной текст с отступом"/>
    <w:basedOn w:val="915"/>
    <w:next w:val="923"/>
    <w:link w:val="915"/>
    <w:pPr>
      <w:ind w:right="-1"/>
      <w:jc w:val="both"/>
    </w:pPr>
    <w:rPr>
      <w:sz w:val="26"/>
    </w:rPr>
  </w:style>
  <w:style w:type="paragraph" w:styleId="924">
    <w:name w:val="Нижний колонтитул"/>
    <w:basedOn w:val="915"/>
    <w:next w:val="924"/>
    <w:link w:val="930"/>
    <w:pPr>
      <w:tabs>
        <w:tab w:val="center" w:pos="4153" w:leader="none"/>
        <w:tab w:val="right" w:pos="8306" w:leader="none"/>
      </w:tabs>
    </w:pPr>
  </w:style>
  <w:style w:type="character" w:styleId="925">
    <w:name w:val="Номер страницы"/>
    <w:next w:val="925"/>
    <w:link w:val="915"/>
    <w:rPr>
      <w:rFonts w:cs="Times New Roman"/>
    </w:rPr>
  </w:style>
  <w:style w:type="paragraph" w:styleId="926">
    <w:name w:val="Верхний колонтитул"/>
    <w:basedOn w:val="915"/>
    <w:next w:val="926"/>
    <w:link w:val="929"/>
    <w:pPr>
      <w:tabs>
        <w:tab w:val="center" w:pos="4153" w:leader="none"/>
        <w:tab w:val="right" w:pos="8306" w:leader="none"/>
      </w:tabs>
    </w:pPr>
  </w:style>
  <w:style w:type="paragraph" w:styleId="927">
    <w:name w:val="Текст выноски"/>
    <w:basedOn w:val="915"/>
    <w:next w:val="927"/>
    <w:link w:val="928"/>
    <w:rPr>
      <w:rFonts w:ascii="Segoe UI" w:hAnsi="Segoe UI"/>
      <w:sz w:val="18"/>
      <w:szCs w:val="18"/>
    </w:rPr>
  </w:style>
  <w:style w:type="character" w:styleId="928">
    <w:name w:val="Текст выноски Знак"/>
    <w:next w:val="928"/>
    <w:link w:val="927"/>
    <w:rPr>
      <w:rFonts w:ascii="Segoe UI" w:hAnsi="Segoe UI"/>
      <w:sz w:val="18"/>
    </w:rPr>
  </w:style>
  <w:style w:type="character" w:styleId="929">
    <w:name w:val="Верхний колонтитул Знак"/>
    <w:next w:val="929"/>
    <w:link w:val="926"/>
  </w:style>
  <w:style w:type="character" w:styleId="930">
    <w:name w:val="Нижний колонтитул Знак"/>
    <w:next w:val="930"/>
    <w:link w:val="924"/>
  </w:style>
  <w:style w:type="paragraph" w:styleId="931">
    <w:name w:val="Форма"/>
    <w:next w:val="931"/>
    <w:link w:val="915"/>
    <w:rPr>
      <w:sz w:val="28"/>
      <w:szCs w:val="28"/>
      <w:lang w:val="ru-RU" w:eastAsia="ru-RU" w:bidi="ar-SA"/>
    </w:rPr>
  </w:style>
  <w:style w:type="paragraph" w:styleId="932">
    <w:name w:val="Приложение"/>
    <w:basedOn w:val="922"/>
    <w:next w:val="932"/>
    <w:link w:val="915"/>
    <w:pPr>
      <w:ind w:left="1985" w:right="0" w:hanging="1985"/>
      <w:jc w:val="both"/>
      <w:spacing w:before="240" w:line="240" w:lineRule="exact"/>
      <w:tabs>
        <w:tab w:val="left" w:pos="1673" w:leader="none"/>
      </w:tabs>
    </w:pPr>
    <w:rPr>
      <w:rFonts w:ascii="Times New Roman" w:hAnsi="Times New Roman"/>
      <w:sz w:val="28"/>
    </w:rPr>
  </w:style>
  <w:style w:type="character" w:styleId="933">
    <w:name w:val="Основной текст Знак"/>
    <w:next w:val="933"/>
    <w:link w:val="922"/>
    <w:rPr>
      <w:rFonts w:ascii="Courier New" w:hAnsi="Courier New"/>
      <w:sz w:val="26"/>
    </w:rPr>
  </w:style>
  <w:style w:type="paragraph" w:styleId="934">
    <w:name w:val="Подпись на  бланке должностного лица"/>
    <w:basedOn w:val="915"/>
    <w:next w:val="922"/>
    <w:link w:val="915"/>
    <w:pPr>
      <w:ind w:left="7088"/>
      <w:spacing w:before="480" w:line="240" w:lineRule="exact"/>
    </w:pPr>
    <w:rPr>
      <w:sz w:val="28"/>
    </w:rPr>
  </w:style>
  <w:style w:type="paragraph" w:styleId="935">
    <w:name w:val="Подпись"/>
    <w:basedOn w:val="915"/>
    <w:next w:val="922"/>
    <w:link w:val="936"/>
    <w:pPr>
      <w:spacing w:before="480" w:line="240" w:lineRule="exact"/>
      <w:tabs>
        <w:tab w:val="left" w:pos="5103" w:leader="none"/>
        <w:tab w:val="right" w:pos="9639" w:leader="none"/>
      </w:tabs>
    </w:pPr>
    <w:rPr>
      <w:sz w:val="28"/>
    </w:rPr>
  </w:style>
  <w:style w:type="character" w:styleId="936">
    <w:name w:val="Подпись Знак"/>
    <w:next w:val="936"/>
    <w:link w:val="935"/>
    <w:rPr>
      <w:sz w:val="28"/>
    </w:rPr>
  </w:style>
  <w:style w:type="paragraph" w:styleId="937">
    <w:name w:val="ConsPlusCell"/>
    <w:next w:val="937"/>
    <w:link w:val="915"/>
    <w:pPr>
      <w:widowControl w:val="off"/>
    </w:pPr>
    <w:rPr>
      <w:rFonts w:ascii="Arial" w:hAnsi="Arial" w:cs="Arial"/>
      <w:lang w:val="ru-RU" w:eastAsia="ru-RU" w:bidi="ar-SA"/>
    </w:rPr>
  </w:style>
  <w:style w:type="paragraph" w:styleId="938">
    <w:name w:val="Обычный + 12 пт,14 пт,15 см,ConsPlusCell + 12 пт,ConsPlusCell + Times New Roman,Красный,Первая строка:  0,По центру,Справа:  0 см,Узор: Нет (Белый)"/>
    <w:basedOn w:val="915"/>
    <w:next w:val="938"/>
    <w:link w:val="915"/>
    <w:rPr>
      <w:color w:val="000000"/>
      <w:sz w:val="24"/>
      <w:szCs w:val="24"/>
    </w:rPr>
  </w:style>
  <w:style w:type="paragraph" w:styleId="939">
    <w:name w:val="ConsPlusNormal"/>
    <w:next w:val="939"/>
    <w:link w:val="915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940">
    <w:name w:val="Обычный + По центру,63 см,Обычный + По левому краю,Первая строка:  0 см,Слева:  0"/>
    <w:basedOn w:val="939"/>
    <w:next w:val="940"/>
    <w:link w:val="915"/>
    <w:pPr>
      <w:jc w:val="center"/>
    </w:pPr>
    <w:rPr>
      <w:rFonts w:ascii="Times New Roman" w:hAnsi="Times New Roman" w:cs="Times New Roman"/>
      <w:sz w:val="24"/>
      <w:szCs w:val="24"/>
    </w:rPr>
  </w:style>
  <w:style w:type="character" w:styleId="941">
    <w:name w:val="Font Style183"/>
    <w:next w:val="941"/>
    <w:link w:val="915"/>
    <w:rPr>
      <w:rFonts w:ascii="Times New Roman" w:hAnsi="Times New Roman"/>
      <w:b/>
      <w:sz w:val="22"/>
    </w:rPr>
  </w:style>
  <w:style w:type="paragraph" w:styleId="942">
    <w:name w:val="таб_изм_финансы"/>
    <w:basedOn w:val="915"/>
    <w:next w:val="942"/>
    <w:link w:val="943"/>
    <w:pPr>
      <w:jc w:val="right"/>
      <w:framePr w:xAlign="center"/>
    </w:pPr>
    <w:rPr>
      <w:color w:val="ff0000"/>
      <w:sz w:val="24"/>
      <w:szCs w:val="24"/>
    </w:rPr>
  </w:style>
  <w:style w:type="character" w:styleId="943">
    <w:name w:val="таб_изм_финансы Знак"/>
    <w:next w:val="943"/>
    <w:link w:val="942"/>
    <w:rPr>
      <w:color w:val="ff0000"/>
      <w:sz w:val="24"/>
    </w:rPr>
  </w:style>
  <w:style w:type="paragraph" w:styleId="944">
    <w:name w:val="List Paragraph"/>
    <w:basedOn w:val="915"/>
    <w:next w:val="944"/>
    <w:link w:val="915"/>
    <w:pPr>
      <w:ind w:left="708" w:firstLine="720"/>
      <w:jc w:val="both"/>
    </w:pPr>
    <w:rPr>
      <w:sz w:val="28"/>
      <w:szCs w:val="24"/>
    </w:rPr>
  </w:style>
  <w:style w:type="paragraph" w:styleId="945">
    <w:name w:val="ConsPlusNonformat"/>
    <w:next w:val="945"/>
    <w:link w:val="915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46">
    <w:name w:val="ConsPlusTitle"/>
    <w:next w:val="946"/>
    <w:link w:val="915"/>
    <w:pPr>
      <w:widowControl w:val="off"/>
    </w:pPr>
    <w:rPr>
      <w:rFonts w:ascii="Calibri" w:hAnsi="Calibri" w:cs="Calibri"/>
      <w:b/>
      <w:bCs/>
      <w:sz w:val="22"/>
      <w:szCs w:val="22"/>
      <w:lang w:val="ru-RU" w:eastAsia="ru-RU" w:bidi="ar-SA"/>
    </w:rPr>
  </w:style>
  <w:style w:type="paragraph" w:styleId="947">
    <w:name w:val="ConsPlusDocList"/>
    <w:next w:val="947"/>
    <w:link w:val="915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48">
    <w:name w:val="Знак примечания"/>
    <w:next w:val="948"/>
    <w:link w:val="915"/>
    <w:rPr>
      <w:sz w:val="16"/>
    </w:rPr>
  </w:style>
  <w:style w:type="paragraph" w:styleId="949">
    <w:name w:val="Текст примечания"/>
    <w:basedOn w:val="915"/>
    <w:next w:val="949"/>
    <w:link w:val="950"/>
    <w:pPr>
      <w:spacing w:after="200"/>
      <w:widowControl w:val="off"/>
    </w:pPr>
    <w:rPr>
      <w:rFonts w:ascii="Calibri" w:hAnsi="Calibri"/>
      <w:lang w:eastAsia="en-US"/>
    </w:rPr>
  </w:style>
  <w:style w:type="character" w:styleId="950">
    <w:name w:val="Текст примечания Знак"/>
    <w:next w:val="950"/>
    <w:link w:val="949"/>
    <w:rPr>
      <w:rFonts w:ascii="Calibri" w:hAnsi="Calibri" w:eastAsia="Times New Roman"/>
      <w:lang w:val="en-US" w:eastAsia="en-US"/>
    </w:rPr>
  </w:style>
  <w:style w:type="paragraph" w:styleId="951">
    <w:name w:val="Тема примечания"/>
    <w:basedOn w:val="949"/>
    <w:next w:val="949"/>
    <w:link w:val="952"/>
    <w:rPr>
      <w:b/>
      <w:bCs/>
    </w:rPr>
  </w:style>
  <w:style w:type="character" w:styleId="952">
    <w:name w:val="Тема примечания Знак"/>
    <w:next w:val="952"/>
    <w:link w:val="951"/>
    <w:rPr>
      <w:rFonts w:ascii="Calibri" w:hAnsi="Calibri" w:eastAsia="Times New Roman"/>
      <w:b/>
      <w:lang w:val="en-US" w:eastAsia="en-US"/>
    </w:rPr>
  </w:style>
  <w:style w:type="paragraph" w:styleId="953">
    <w:name w:val="Revision"/>
    <w:next w:val="953"/>
    <w:link w:val="915"/>
    <w:hidden/>
    <w:semiHidden/>
    <w:rPr>
      <w:rFonts w:ascii="Calibri" w:hAnsi="Calibri"/>
      <w:sz w:val="22"/>
      <w:szCs w:val="22"/>
      <w:lang w:val="ru-RU" w:eastAsia="en-US" w:bidi="ar-SA"/>
    </w:rPr>
  </w:style>
  <w:style w:type="character" w:styleId="954">
    <w:name w:val="Font Style15"/>
    <w:next w:val="954"/>
    <w:link w:val="915"/>
    <w:rPr>
      <w:rFonts w:ascii="Times New Roman" w:hAnsi="Times New Roman"/>
      <w:sz w:val="28"/>
    </w:rPr>
  </w:style>
  <w:style w:type="table" w:styleId="955">
    <w:name w:val="Сетка таблицы"/>
    <w:basedOn w:val="919"/>
    <w:next w:val="955"/>
    <w:link w:val="915"/>
    <w:rPr>
      <w:lang w:val="ru-RU" w:eastAsia="ru-RU" w:bidi="ar-SA"/>
    </w:rPr>
    <w:tblPr/>
  </w:style>
  <w:style w:type="paragraph" w:styleId="956">
    <w:name w:val="Обычный (веб)"/>
    <w:basedOn w:val="915"/>
    <w:next w:val="956"/>
    <w:link w:val="915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957">
    <w:name w:val="Выделение"/>
    <w:next w:val="957"/>
    <w:link w:val="915"/>
    <w:qFormat/>
    <w:rPr>
      <w:i/>
    </w:rPr>
  </w:style>
  <w:style w:type="character" w:styleId="958">
    <w:name w:val="Гиперссылка"/>
    <w:next w:val="958"/>
    <w:link w:val="915"/>
    <w:rPr>
      <w:color w:val="0000ff"/>
      <w:u w:val="single"/>
    </w:rPr>
  </w:style>
  <w:style w:type="paragraph" w:styleId="959">
    <w:name w:val="Название"/>
    <w:basedOn w:val="915"/>
    <w:next w:val="915"/>
    <w:link w:val="960"/>
    <w:qFormat/>
    <w:pPr>
      <w:jc w:val="center"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960">
    <w:name w:val="Название Знак"/>
    <w:next w:val="960"/>
    <w:link w:val="959"/>
    <w:rPr>
      <w:rFonts w:ascii="Cambria" w:hAnsi="Cambria" w:eastAsia="Times New Roman" w:cs="Times New Roman"/>
      <w:b/>
      <w:bCs/>
      <w:sz w:val="32"/>
      <w:szCs w:val="32"/>
    </w:rPr>
  </w:style>
  <w:style w:type="table" w:styleId="961">
    <w:name w:val="Табличка-0-19"/>
    <w:basedOn w:val="919"/>
    <w:next w:val="961"/>
    <w:link w:val="915"/>
    <w:tblPr/>
  </w:style>
  <w:style w:type="table" w:styleId="962">
    <w:name w:val="Табличка 0-19"/>
    <w:basedOn w:val="919"/>
    <w:next w:val="962"/>
    <w:link w:val="915"/>
    <w:rPr>
      <w:sz w:val="28"/>
    </w:rPr>
    <w:tblPr/>
  </w:style>
  <w:style w:type="table" w:styleId="963">
    <w:name w:val="Классическая таблица 3"/>
    <w:basedOn w:val="919"/>
    <w:next w:val="963"/>
    <w:link w:val="915"/>
    <w:rPr>
      <w:color w:val="000080"/>
    </w:rPr>
    <w:tblPr/>
  </w:style>
  <w:style w:type="paragraph" w:styleId="964">
    <w:name w:val="Абзац списка"/>
    <w:basedOn w:val="915"/>
    <w:next w:val="964"/>
    <w:link w:val="91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65">
    <w:name w:val="Default"/>
    <w:next w:val="965"/>
    <w:link w:val="915"/>
    <w:rPr>
      <w:color w:val="000000"/>
      <w:sz w:val="24"/>
      <w:szCs w:val="24"/>
      <w:lang w:val="ru-RU" w:eastAsia="ru-RU" w:bidi="ar-SA"/>
    </w:rPr>
  </w:style>
  <w:style w:type="character" w:styleId="966" w:default="1">
    <w:name w:val="Default Paragraph Font"/>
    <w:uiPriority w:val="1"/>
    <w:semiHidden/>
    <w:unhideWhenUsed/>
  </w:style>
  <w:style w:type="numbering" w:styleId="967" w:default="1">
    <w:name w:val="No List"/>
    <w:uiPriority w:val="99"/>
    <w:semiHidden/>
    <w:unhideWhenUsed/>
  </w:style>
  <w:style w:type="table" w:styleId="96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samokhvalova-ev</cp:lastModifiedBy>
  <cp:revision>118</cp:revision>
  <dcterms:created xsi:type="dcterms:W3CDTF">2022-03-28T10:44:00Z</dcterms:created>
  <dcterms:modified xsi:type="dcterms:W3CDTF">2026-03-27T05:14:32Z</dcterms:modified>
  <cp:version>983040</cp:version>
</cp:coreProperties>
</file>